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>Wymagania edukacyjne z przedmiotu historia</w:t>
      </w:r>
    </w:p>
    <w:p w:rsidR="00816EEF" w:rsidRPr="00816EEF" w:rsidRDefault="00816EEF" w:rsidP="00816EEF">
      <w:pPr>
        <w:rPr>
          <w:b/>
          <w:u w:val="single"/>
        </w:rPr>
      </w:pPr>
    </w:p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>1. Sposoby sprawdzania dydaktycznych osiągnięć uczniów i ich wagi: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sprawdzian (praca klasowa) zapowiadany z tygodniowym wyprzedzeniem – waga 3;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kartkówki trwające nie dłużej niż 15 minut: zapowiedziane (obejmujące materiał z trzech ostatnich lekcji) oraz niezapowiedziane (obejmujące mat</w:t>
      </w:r>
      <w:r w:rsidRPr="00816EEF">
        <w:rPr>
          <w:szCs w:val="24"/>
        </w:rPr>
        <w:t>e</w:t>
      </w:r>
      <w:r w:rsidRPr="00816EEF">
        <w:rPr>
          <w:szCs w:val="24"/>
        </w:rPr>
        <w:t>riał z ostatniej lekcji) – waga 2;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odpowiedzi ustne obejmują materiał programowy z ostatniej lekcji – waga 2;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praca na lekcji, czyli aktywność ucznia na zajęciach np.: ćwiczenia pisemne, wykonywane na lekcji, pr</w:t>
      </w:r>
      <w:r w:rsidRPr="00816EEF">
        <w:rPr>
          <w:szCs w:val="24"/>
        </w:rPr>
        <w:t>a</w:t>
      </w:r>
      <w:r w:rsidRPr="00816EEF">
        <w:rPr>
          <w:szCs w:val="24"/>
        </w:rPr>
        <w:t>ce w grupie, udział w dyskusjach dotycz</w:t>
      </w:r>
      <w:r w:rsidRPr="00816EEF">
        <w:rPr>
          <w:szCs w:val="24"/>
        </w:rPr>
        <w:t>ą</w:t>
      </w:r>
      <w:r w:rsidRPr="00816EEF">
        <w:rPr>
          <w:szCs w:val="24"/>
        </w:rPr>
        <w:t>cych tematów lekcji – waga 1;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zajęcie punktowanego miejsca w konkursach szkolnych i międzyszkolnych oraz olimpiadach przedmi</w:t>
      </w:r>
      <w:r w:rsidRPr="00816EEF">
        <w:rPr>
          <w:szCs w:val="24"/>
        </w:rPr>
        <w:t>o</w:t>
      </w:r>
      <w:r w:rsidRPr="00816EEF">
        <w:rPr>
          <w:szCs w:val="24"/>
        </w:rPr>
        <w:t>towych – waga 4;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6"/>
        </w:numPr>
        <w:suppressAutoHyphens w:val="0"/>
        <w:autoSpaceDE w:val="0"/>
        <w:autoSpaceDN w:val="0"/>
        <w:adjustRightInd w:val="0"/>
        <w:ind w:left="284" w:hanging="284"/>
        <w:rPr>
          <w:szCs w:val="24"/>
        </w:rPr>
      </w:pPr>
      <w:r w:rsidRPr="00816EEF">
        <w:rPr>
          <w:szCs w:val="24"/>
        </w:rPr>
        <w:t>zadania dodatkowe – waga 2.</w:t>
      </w:r>
    </w:p>
    <w:p w:rsidR="00816EEF" w:rsidRPr="00816EEF" w:rsidRDefault="00816EEF" w:rsidP="00816EEF">
      <w:r w:rsidRPr="00816EEF">
        <w:t>Każdy uczeń powinien otrzymać w ciągu półrocza minimum cztery oceny.</w:t>
      </w:r>
    </w:p>
    <w:p w:rsidR="00816EEF" w:rsidRPr="00816EEF" w:rsidRDefault="00816EEF" w:rsidP="00816EEF"/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 xml:space="preserve">2. Kryteria procentowe z prac pisemnych (kartkówki i sprawdziany): </w:t>
      </w:r>
    </w:p>
    <w:p w:rsidR="00816EEF" w:rsidRPr="00816EEF" w:rsidRDefault="00816EEF" w:rsidP="00816EEF">
      <w:pPr>
        <w:pStyle w:val="Akapitzlist"/>
        <w:widowControl/>
        <w:numPr>
          <w:ilvl w:val="1"/>
          <w:numId w:val="57"/>
        </w:numPr>
        <w:suppressAutoHyphens w:val="0"/>
        <w:rPr>
          <w:szCs w:val="24"/>
        </w:rPr>
      </w:pPr>
      <w:r w:rsidRPr="00816EEF">
        <w:rPr>
          <w:szCs w:val="24"/>
        </w:rPr>
        <w:t>celujący                 96% - 100% punktów;</w:t>
      </w:r>
    </w:p>
    <w:p w:rsidR="00816EEF" w:rsidRPr="00816EEF" w:rsidRDefault="00816EEF" w:rsidP="00816EEF">
      <w:pPr>
        <w:widowControl/>
        <w:numPr>
          <w:ilvl w:val="1"/>
          <w:numId w:val="57"/>
        </w:numPr>
        <w:suppressAutoHyphens w:val="0"/>
      </w:pPr>
      <w:r w:rsidRPr="00816EEF">
        <w:t>bardzo dobry         84% - 95% punktów;</w:t>
      </w:r>
    </w:p>
    <w:p w:rsidR="00816EEF" w:rsidRPr="00816EEF" w:rsidRDefault="00816EEF" w:rsidP="00816EEF">
      <w:pPr>
        <w:widowControl/>
        <w:numPr>
          <w:ilvl w:val="1"/>
          <w:numId w:val="57"/>
        </w:numPr>
        <w:suppressAutoHyphens w:val="0"/>
      </w:pPr>
      <w:r w:rsidRPr="00816EEF">
        <w:t>dobry                     71% - 83% punktów;</w:t>
      </w:r>
    </w:p>
    <w:p w:rsidR="00816EEF" w:rsidRPr="00816EEF" w:rsidRDefault="00816EEF" w:rsidP="00816EEF">
      <w:pPr>
        <w:widowControl/>
        <w:numPr>
          <w:ilvl w:val="1"/>
          <w:numId w:val="57"/>
        </w:numPr>
        <w:suppressAutoHyphens w:val="0"/>
      </w:pPr>
      <w:r w:rsidRPr="00816EEF">
        <w:t>dostateczny            51% - 70% punktów;</w:t>
      </w:r>
    </w:p>
    <w:p w:rsidR="00816EEF" w:rsidRPr="00816EEF" w:rsidRDefault="00816EEF" w:rsidP="00816EEF">
      <w:pPr>
        <w:widowControl/>
        <w:numPr>
          <w:ilvl w:val="1"/>
          <w:numId w:val="57"/>
        </w:numPr>
        <w:suppressAutoHyphens w:val="0"/>
      </w:pPr>
      <w:r w:rsidRPr="00816EEF">
        <w:t>dopuszczający        30% - 50% punktów;</w:t>
      </w:r>
    </w:p>
    <w:p w:rsidR="00816EEF" w:rsidRPr="00816EEF" w:rsidRDefault="00816EEF" w:rsidP="00816EEF">
      <w:pPr>
        <w:widowControl/>
        <w:numPr>
          <w:ilvl w:val="1"/>
          <w:numId w:val="57"/>
        </w:numPr>
        <w:suppressAutoHyphens w:val="0"/>
      </w:pPr>
      <w:r w:rsidRPr="00816EEF">
        <w:t>niedostateczny       0% - 29% punktów.</w:t>
      </w:r>
    </w:p>
    <w:p w:rsidR="00816EEF" w:rsidRPr="00816EEF" w:rsidRDefault="00816EEF" w:rsidP="00816EEF"/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>3. Zasady poprawiania ocen z zapowiedzianych prac pisemnych (sprawdzianów oraz kartkówek):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8"/>
        </w:numPr>
        <w:tabs>
          <w:tab w:val="num" w:pos="0"/>
        </w:tabs>
        <w:suppressAutoHyphens w:val="0"/>
        <w:ind w:left="284"/>
        <w:rPr>
          <w:szCs w:val="24"/>
        </w:rPr>
      </w:pPr>
      <w:r w:rsidRPr="00816EEF">
        <w:rPr>
          <w:szCs w:val="24"/>
        </w:rPr>
        <w:t xml:space="preserve">uczeń ma prawo do poprawy sprawdzianu lub kartkówki zapowiedzianej w ciągu tygodnia </w:t>
      </w:r>
      <w:r w:rsidRPr="00816EEF">
        <w:rPr>
          <w:color w:val="000000"/>
          <w:szCs w:val="24"/>
        </w:rPr>
        <w:t>od dnia odd</w:t>
      </w:r>
      <w:r w:rsidRPr="00816EEF">
        <w:rPr>
          <w:color w:val="000000"/>
          <w:szCs w:val="24"/>
        </w:rPr>
        <w:t>a</w:t>
      </w:r>
      <w:r w:rsidRPr="00816EEF">
        <w:rPr>
          <w:color w:val="000000"/>
          <w:szCs w:val="24"/>
        </w:rPr>
        <w:t xml:space="preserve">nia pracy przez nauczyciela. </w:t>
      </w:r>
      <w:r w:rsidRPr="00816EEF">
        <w:rPr>
          <w:szCs w:val="24"/>
        </w:rPr>
        <w:t>Prace można poprawiać tylko raz w terminie uzgodnionym z nauczycielem. W przypadku otrzymania z poprawy oceny lepszej do dziennika wpisujemy ocenę z pierwszego terminu z wagą „1” oraz poprawioną z wagą „3” (sprawdzian) lub „2” (kartkówka zapowiedziana). W przypadku niepoprawienia pracy pisemnej ocena jest wpisywana do dziennika z wagą „0”;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8"/>
        </w:numPr>
        <w:tabs>
          <w:tab w:val="num" w:pos="0"/>
        </w:tabs>
        <w:suppressAutoHyphens w:val="0"/>
        <w:ind w:left="284"/>
        <w:rPr>
          <w:szCs w:val="24"/>
        </w:rPr>
      </w:pPr>
      <w:r w:rsidRPr="00816EEF">
        <w:rPr>
          <w:szCs w:val="24"/>
        </w:rPr>
        <w:t>w przypadku usprawiedliwionej nieobecności na zapowiedzianej pracy pisemnej uczeń ma obowiązek napisania jej w ciągu tygodnia od momentu powrotu do szkoły. Nieusprawiedliwiona nieobecność lub niezgłoszenie się w ciągu tygodnia w celu napisania pracy skutkuje otrzymaniem oceny niedostatecznej;</w:t>
      </w:r>
    </w:p>
    <w:p w:rsidR="00816EEF" w:rsidRPr="00816EEF" w:rsidRDefault="00816EEF" w:rsidP="00816EEF">
      <w:pPr>
        <w:pStyle w:val="Akapitzlist"/>
        <w:widowControl/>
        <w:numPr>
          <w:ilvl w:val="0"/>
          <w:numId w:val="58"/>
        </w:numPr>
        <w:tabs>
          <w:tab w:val="num" w:pos="0"/>
        </w:tabs>
        <w:suppressAutoHyphens w:val="0"/>
        <w:ind w:left="284"/>
        <w:rPr>
          <w:szCs w:val="24"/>
        </w:rPr>
      </w:pPr>
      <w:r w:rsidRPr="00816EEF">
        <w:rPr>
          <w:szCs w:val="24"/>
        </w:rPr>
        <w:t>uczeń ma prawo poprawić ocenę niedostateczną, dopuszczającą, dostateczną oraz dobrą.</w:t>
      </w:r>
    </w:p>
    <w:p w:rsidR="00816EEF" w:rsidRPr="00816EEF" w:rsidRDefault="00816EEF" w:rsidP="00816EEF">
      <w:pPr>
        <w:pStyle w:val="Akapitzlist"/>
        <w:ind w:left="284"/>
        <w:rPr>
          <w:szCs w:val="24"/>
        </w:rPr>
      </w:pPr>
    </w:p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>4. Ocena aktywności uczniów na zajęciach lekcyjnych:</w:t>
      </w:r>
    </w:p>
    <w:p w:rsidR="00816EEF" w:rsidRPr="00816EEF" w:rsidRDefault="00816EEF" w:rsidP="00816EEF">
      <w:r w:rsidRPr="00816EEF">
        <w:t>Uczeń, który wyróżnia się spośród pozostałych uczniów swą aktywnością na lekcji, o</w:t>
      </w:r>
      <w:r>
        <w:t xml:space="preserve">trzymuje na koniec zajęć ocenę </w:t>
      </w:r>
      <w:r w:rsidRPr="00816EEF">
        <w:t>w postaci „+”. Przy jednej godzinie w tygodniu cztery „+” dają ocenę celującą, trzy „+” – bardzo dobrą, natomiast przy minimum dwóch godzinach – sześć „+” daje ocenę celującą, a pięć „+” bardzo dobrą.</w:t>
      </w:r>
    </w:p>
    <w:p w:rsidR="00816EEF" w:rsidRPr="00816EEF" w:rsidRDefault="00816EEF" w:rsidP="00816EEF">
      <w:pPr>
        <w:rPr>
          <w:b/>
          <w:u w:val="single"/>
        </w:rPr>
      </w:pPr>
    </w:p>
    <w:p w:rsidR="00816EEF" w:rsidRPr="00816EEF" w:rsidRDefault="00816EEF" w:rsidP="00816EEF">
      <w:pPr>
        <w:rPr>
          <w:b/>
          <w:u w:val="single"/>
        </w:rPr>
      </w:pPr>
      <w:r w:rsidRPr="00816EEF">
        <w:rPr>
          <w:b/>
          <w:u w:val="single"/>
        </w:rPr>
        <w:t xml:space="preserve">5. Nieprzygotowanie uczniów do zajęć lekcyjnych: </w:t>
      </w:r>
    </w:p>
    <w:p w:rsidR="00816EEF" w:rsidRPr="00816EEF" w:rsidRDefault="00816EEF" w:rsidP="00816EEF">
      <w:pPr>
        <w:pStyle w:val="Akapitzlist"/>
        <w:widowControl/>
        <w:numPr>
          <w:ilvl w:val="2"/>
          <w:numId w:val="57"/>
        </w:numPr>
        <w:tabs>
          <w:tab w:val="num" w:pos="0"/>
        </w:tabs>
        <w:suppressAutoHyphens w:val="0"/>
        <w:ind w:left="284" w:hanging="284"/>
        <w:rPr>
          <w:szCs w:val="24"/>
        </w:rPr>
      </w:pPr>
      <w:r w:rsidRPr="00816EEF">
        <w:rPr>
          <w:szCs w:val="24"/>
        </w:rPr>
        <w:t>uczeń ma prawo być dwa razy nieprzygotowany w półroczu przy minimum dwóch godzinach lekcyjnych w tygodniu, natomiast raz przy jednej godzinie lekcyjnej w tygodniu – nieprzygotowanie zgłaszamy po</w:t>
      </w:r>
      <w:r w:rsidRPr="00816EEF">
        <w:rPr>
          <w:szCs w:val="24"/>
        </w:rPr>
        <w:t>d</w:t>
      </w:r>
      <w:r w:rsidRPr="00816EEF">
        <w:rPr>
          <w:szCs w:val="24"/>
        </w:rPr>
        <w:t>czas czytania listy obecności;</w:t>
      </w:r>
    </w:p>
    <w:p w:rsidR="00816EEF" w:rsidRPr="00816EEF" w:rsidRDefault="00816EEF" w:rsidP="00816EEF">
      <w:pPr>
        <w:pStyle w:val="Akapitzlist"/>
        <w:widowControl/>
        <w:numPr>
          <w:ilvl w:val="2"/>
          <w:numId w:val="57"/>
        </w:numPr>
        <w:tabs>
          <w:tab w:val="num" w:pos="0"/>
        </w:tabs>
        <w:suppressAutoHyphens w:val="0"/>
        <w:ind w:left="284" w:hanging="284"/>
        <w:rPr>
          <w:szCs w:val="24"/>
        </w:rPr>
      </w:pPr>
      <w:r w:rsidRPr="00816EEF">
        <w:rPr>
          <w:szCs w:val="24"/>
        </w:rPr>
        <w:t xml:space="preserve">po wykorzystaniu przez ucznia limitu </w:t>
      </w:r>
      <w:proofErr w:type="spellStart"/>
      <w:r w:rsidRPr="00816EEF">
        <w:rPr>
          <w:szCs w:val="24"/>
        </w:rPr>
        <w:t>nieprzygotowań</w:t>
      </w:r>
      <w:proofErr w:type="spellEnd"/>
      <w:r w:rsidRPr="00816EEF">
        <w:rPr>
          <w:szCs w:val="24"/>
        </w:rPr>
        <w:t xml:space="preserve"> do zajęć każde kolejne skutkuje wpisaniem oceny niedostatecznej;</w:t>
      </w:r>
    </w:p>
    <w:p w:rsidR="00816EEF" w:rsidRPr="00816EEF" w:rsidRDefault="00816EEF" w:rsidP="00816EEF">
      <w:pPr>
        <w:pStyle w:val="Akapitzlist"/>
        <w:widowControl/>
        <w:numPr>
          <w:ilvl w:val="2"/>
          <w:numId w:val="57"/>
        </w:numPr>
        <w:tabs>
          <w:tab w:val="num" w:pos="0"/>
        </w:tabs>
        <w:suppressAutoHyphens w:val="0"/>
        <w:ind w:left="284" w:hanging="284"/>
        <w:rPr>
          <w:szCs w:val="24"/>
        </w:rPr>
      </w:pPr>
      <w:r w:rsidRPr="00816EEF">
        <w:rPr>
          <w:szCs w:val="24"/>
        </w:rPr>
        <w:t>nieprzygotowanie do lekcji obejmuje: brak zeszytu przedmiotowego, zeszytu ćwiczeń lub przygotowania do odpowiedzi ustnej z poprzedniego tem</w:t>
      </w:r>
      <w:r w:rsidRPr="00816EEF">
        <w:rPr>
          <w:szCs w:val="24"/>
        </w:rPr>
        <w:t>a</w:t>
      </w:r>
      <w:r w:rsidRPr="00816EEF">
        <w:rPr>
          <w:szCs w:val="24"/>
        </w:rPr>
        <w:t>tu;</w:t>
      </w:r>
    </w:p>
    <w:p w:rsidR="00816EEF" w:rsidRPr="00816EEF" w:rsidRDefault="00816EEF" w:rsidP="00816EEF">
      <w:pPr>
        <w:pStyle w:val="Akapitzlist"/>
        <w:widowControl/>
        <w:numPr>
          <w:ilvl w:val="2"/>
          <w:numId w:val="57"/>
        </w:numPr>
        <w:tabs>
          <w:tab w:val="num" w:pos="0"/>
        </w:tabs>
        <w:suppressAutoHyphens w:val="0"/>
        <w:ind w:left="284" w:hanging="284"/>
        <w:rPr>
          <w:szCs w:val="24"/>
        </w:rPr>
      </w:pPr>
      <w:r w:rsidRPr="00816EEF">
        <w:rPr>
          <w:szCs w:val="24"/>
        </w:rPr>
        <w:t>zgłoszenie nieprzygotowania zwalnia z pisania krótkiej pracy pisemnej (kartkówki) z wyjątkiem prac z</w:t>
      </w:r>
      <w:r w:rsidRPr="00816EEF">
        <w:rPr>
          <w:szCs w:val="24"/>
        </w:rPr>
        <w:t>a</w:t>
      </w:r>
      <w:r w:rsidRPr="00816EEF">
        <w:rPr>
          <w:szCs w:val="24"/>
        </w:rPr>
        <w:t>powiedzianych.</w:t>
      </w:r>
    </w:p>
    <w:p w:rsidR="006E7F2B" w:rsidRPr="00816EEF" w:rsidRDefault="006E7F2B" w:rsidP="00816EEF"/>
    <w:sectPr w:rsidR="006E7F2B" w:rsidRPr="00816EEF" w:rsidSect="00816E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BB" w:rsidRDefault="007F0CBB" w:rsidP="00495CA6">
      <w:r>
        <w:separator/>
      </w:r>
    </w:p>
  </w:endnote>
  <w:endnote w:type="continuationSeparator" w:id="0">
    <w:p w:rsidR="007F0CBB" w:rsidRDefault="007F0CBB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842C95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816EEF">
      <w:rPr>
        <w:noProof/>
      </w:rPr>
      <w:t>1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BB" w:rsidRDefault="007F0CBB" w:rsidP="00495CA6">
      <w:r>
        <w:separator/>
      </w:r>
    </w:p>
  </w:footnote>
  <w:footnote w:type="continuationSeparator" w:id="0">
    <w:p w:rsidR="007F0CBB" w:rsidRDefault="007F0CBB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891"/>
    <w:multiLevelType w:val="hybridMultilevel"/>
    <w:tmpl w:val="75629048"/>
    <w:lvl w:ilvl="0" w:tplc="C6B8396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16C62"/>
    <w:multiLevelType w:val="multilevel"/>
    <w:tmpl w:val="999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B774671"/>
    <w:multiLevelType w:val="hybridMultilevel"/>
    <w:tmpl w:val="C43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35"/>
  </w:num>
  <w:num w:numId="5">
    <w:abstractNumId w:val="14"/>
  </w:num>
  <w:num w:numId="6">
    <w:abstractNumId w:val="0"/>
  </w:num>
  <w:num w:numId="7">
    <w:abstractNumId w:val="45"/>
  </w:num>
  <w:num w:numId="8">
    <w:abstractNumId w:val="4"/>
  </w:num>
  <w:num w:numId="9">
    <w:abstractNumId w:val="21"/>
  </w:num>
  <w:num w:numId="10">
    <w:abstractNumId w:val="31"/>
  </w:num>
  <w:num w:numId="11">
    <w:abstractNumId w:val="23"/>
  </w:num>
  <w:num w:numId="12">
    <w:abstractNumId w:val="32"/>
  </w:num>
  <w:num w:numId="13">
    <w:abstractNumId w:val="5"/>
  </w:num>
  <w:num w:numId="14">
    <w:abstractNumId w:val="7"/>
  </w:num>
  <w:num w:numId="15">
    <w:abstractNumId w:val="16"/>
  </w:num>
  <w:num w:numId="16">
    <w:abstractNumId w:val="30"/>
  </w:num>
  <w:num w:numId="17">
    <w:abstractNumId w:val="38"/>
  </w:num>
  <w:num w:numId="18">
    <w:abstractNumId w:val="15"/>
  </w:num>
  <w:num w:numId="19">
    <w:abstractNumId w:val="46"/>
  </w:num>
  <w:num w:numId="20">
    <w:abstractNumId w:val="29"/>
  </w:num>
  <w:num w:numId="21">
    <w:abstractNumId w:val="2"/>
  </w:num>
  <w:num w:numId="22">
    <w:abstractNumId w:val="39"/>
  </w:num>
  <w:num w:numId="23">
    <w:abstractNumId w:val="49"/>
  </w:num>
  <w:num w:numId="24">
    <w:abstractNumId w:val="26"/>
  </w:num>
  <w:num w:numId="25">
    <w:abstractNumId w:val="54"/>
  </w:num>
  <w:num w:numId="26">
    <w:abstractNumId w:val="13"/>
  </w:num>
  <w:num w:numId="27">
    <w:abstractNumId w:val="36"/>
  </w:num>
  <w:num w:numId="28">
    <w:abstractNumId w:val="43"/>
  </w:num>
  <w:num w:numId="29">
    <w:abstractNumId w:val="48"/>
  </w:num>
  <w:num w:numId="30">
    <w:abstractNumId w:val="44"/>
  </w:num>
  <w:num w:numId="31">
    <w:abstractNumId w:val="19"/>
  </w:num>
  <w:num w:numId="32">
    <w:abstractNumId w:val="51"/>
  </w:num>
  <w:num w:numId="33">
    <w:abstractNumId w:val="25"/>
  </w:num>
  <w:num w:numId="34">
    <w:abstractNumId w:val="12"/>
  </w:num>
  <w:num w:numId="35">
    <w:abstractNumId w:val="6"/>
  </w:num>
  <w:num w:numId="36">
    <w:abstractNumId w:val="24"/>
  </w:num>
  <w:num w:numId="37">
    <w:abstractNumId w:val="47"/>
  </w:num>
  <w:num w:numId="38">
    <w:abstractNumId w:val="37"/>
  </w:num>
  <w:num w:numId="39">
    <w:abstractNumId w:val="52"/>
  </w:num>
  <w:num w:numId="40">
    <w:abstractNumId w:val="17"/>
  </w:num>
  <w:num w:numId="41">
    <w:abstractNumId w:val="9"/>
  </w:num>
  <w:num w:numId="42">
    <w:abstractNumId w:val="40"/>
  </w:num>
  <w:num w:numId="43">
    <w:abstractNumId w:val="22"/>
  </w:num>
  <w:num w:numId="44">
    <w:abstractNumId w:val="33"/>
  </w:num>
  <w:num w:numId="45">
    <w:abstractNumId w:val="8"/>
  </w:num>
  <w:num w:numId="46">
    <w:abstractNumId w:val="50"/>
  </w:num>
  <w:num w:numId="47">
    <w:abstractNumId w:val="42"/>
  </w:num>
  <w:num w:numId="48">
    <w:abstractNumId w:val="41"/>
  </w:num>
  <w:num w:numId="49">
    <w:abstractNumId w:val="11"/>
  </w:num>
  <w:num w:numId="50">
    <w:abstractNumId w:val="34"/>
  </w:num>
  <w:num w:numId="51">
    <w:abstractNumId w:val="18"/>
  </w:num>
  <w:num w:numId="52">
    <w:abstractNumId w:val="28"/>
  </w:num>
  <w:num w:numId="53">
    <w:abstractNumId w:val="27"/>
  </w:num>
  <w:num w:numId="54">
    <w:abstractNumId w:val="1"/>
  </w:num>
  <w:num w:numId="55">
    <w:abstractNumId w:val="53"/>
  </w:num>
  <w:num w:numId="5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autoHyphenation/>
  <w:hyphenationZone w:val="28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49A2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A0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CBB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6EEF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2C95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5E3C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0A4C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5E7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C7A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383361-634C-4FFF-8F8C-09DC4CEB4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E63A7-CEA6-45FE-A799-84353629EF27}"/>
</file>

<file path=customXml/itemProps3.xml><?xml version="1.0" encoding="utf-8"?>
<ds:datastoreItem xmlns:ds="http://schemas.openxmlformats.org/officeDocument/2006/customXml" ds:itemID="{4BE8F0AA-8812-4CB5-871A-DCFC197DF0DA}"/>
</file>

<file path=customXml/itemProps4.xml><?xml version="1.0" encoding="utf-8"?>
<ds:datastoreItem xmlns:ds="http://schemas.openxmlformats.org/officeDocument/2006/customXml" ds:itemID="{FCBCA7A0-B15B-4206-B022-9A7CB2593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Admin</cp:lastModifiedBy>
  <cp:revision>5</cp:revision>
  <cp:lastPrinted>2024-09-18T21:11:00Z</cp:lastPrinted>
  <dcterms:created xsi:type="dcterms:W3CDTF">2019-02-06T21:11:00Z</dcterms:created>
  <dcterms:modified xsi:type="dcterms:W3CDTF">2024-09-18T21:12:00Z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